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00D0EEFD" w14:textId="77777777" w:rsidR="00786201" w:rsidRDefault="00786201" w:rsidP="3297A2ED">
      <w:pPr>
        <w:pStyle w:val="Default"/>
        <w:rPr>
          <w:rFonts w:ascii="Times New Roman" w:hAnsi="Times New Roman" w:cs="Times New Roman"/>
          <w:i/>
          <w:iCs/>
          <w:color w:val="4472C4" w:themeColor="accent1"/>
        </w:rPr>
      </w:pPr>
    </w:p>
    <w:tbl>
      <w:tblPr>
        <w:tblStyle w:val="TableGrid"/>
        <w:tblW w:w="0" w:type="auto"/>
        <w:tblLook w:val="04A0" w:firstRow="1" w:lastRow="0" w:firstColumn="1" w:lastColumn="0" w:noHBand="0" w:noVBand="1"/>
      </w:tblPr>
      <w:tblGrid>
        <w:gridCol w:w="2972"/>
        <w:gridCol w:w="6378"/>
      </w:tblGrid>
      <w:tr w:rsidR="00786201" w14:paraId="291B6608" w14:textId="77777777" w:rsidTr="00786201">
        <w:tc>
          <w:tcPr>
            <w:tcW w:w="2972" w:type="dxa"/>
          </w:tcPr>
          <w:p w14:paraId="26DA6AC8" w14:textId="6293869A" w:rsidR="00786201" w:rsidRPr="00786201" w:rsidRDefault="00786201" w:rsidP="3297A2ED">
            <w:pPr>
              <w:pStyle w:val="Default"/>
              <w:rPr>
                <w:rFonts w:ascii="Times New Roman" w:hAnsi="Times New Roman" w:cs="Times New Roman"/>
                <w:b/>
                <w:bCs/>
                <w:color w:val="auto"/>
              </w:rPr>
            </w:pPr>
            <w:r w:rsidRPr="00786201">
              <w:rPr>
                <w:rFonts w:ascii="Times New Roman" w:hAnsi="Times New Roman" w:cs="Times New Roman"/>
                <w:b/>
                <w:bCs/>
                <w:color w:val="auto"/>
              </w:rPr>
              <w:t>Project Country</w:t>
            </w:r>
          </w:p>
        </w:tc>
        <w:tc>
          <w:tcPr>
            <w:tcW w:w="6378" w:type="dxa"/>
          </w:tcPr>
          <w:p w14:paraId="243F3D32" w14:textId="56D50924" w:rsidR="00786201" w:rsidRPr="00740045" w:rsidRDefault="00786201" w:rsidP="3297A2ED">
            <w:pPr>
              <w:pStyle w:val="Default"/>
              <w:rPr>
                <w:rFonts w:ascii="Times New Roman" w:hAnsi="Times New Roman" w:cs="Times New Roman"/>
                <w:color w:val="auto"/>
              </w:rPr>
            </w:pPr>
            <w:r w:rsidRPr="00740045">
              <w:rPr>
                <w:rFonts w:ascii="Times New Roman" w:hAnsi="Times New Roman" w:cs="Times New Roman"/>
                <w:color w:val="auto"/>
              </w:rPr>
              <w:t xml:space="preserve">Regional </w:t>
            </w:r>
          </w:p>
        </w:tc>
      </w:tr>
      <w:tr w:rsidR="00786201" w14:paraId="5D01BF9F" w14:textId="77777777" w:rsidTr="00786201">
        <w:tc>
          <w:tcPr>
            <w:tcW w:w="2972" w:type="dxa"/>
          </w:tcPr>
          <w:p w14:paraId="1B260398" w14:textId="740942C0" w:rsidR="00786201" w:rsidRPr="00786201" w:rsidRDefault="00786201" w:rsidP="3297A2ED">
            <w:pPr>
              <w:pStyle w:val="Default"/>
              <w:rPr>
                <w:rFonts w:ascii="Times New Roman" w:hAnsi="Times New Roman" w:cs="Times New Roman"/>
                <w:b/>
                <w:bCs/>
                <w:color w:val="auto"/>
              </w:rPr>
            </w:pPr>
            <w:r w:rsidRPr="00786201">
              <w:rPr>
                <w:rFonts w:ascii="Times New Roman" w:hAnsi="Times New Roman" w:cs="Times New Roman"/>
                <w:b/>
                <w:bCs/>
                <w:color w:val="auto"/>
              </w:rPr>
              <w:t xml:space="preserve">Project Name </w:t>
            </w:r>
          </w:p>
        </w:tc>
        <w:tc>
          <w:tcPr>
            <w:tcW w:w="6378" w:type="dxa"/>
          </w:tcPr>
          <w:p w14:paraId="1C64AB06" w14:textId="69379DA4" w:rsidR="00786201" w:rsidRPr="00740045" w:rsidRDefault="00F25B12" w:rsidP="3297A2ED">
            <w:pPr>
              <w:pStyle w:val="Default"/>
              <w:rPr>
                <w:rFonts w:ascii="Times New Roman" w:hAnsi="Times New Roman" w:cs="Times New Roman"/>
                <w:color w:val="auto"/>
              </w:rPr>
            </w:pPr>
            <w:r w:rsidRPr="00740045">
              <w:rPr>
                <w:rFonts w:ascii="Times New Roman" w:hAnsi="Times New Roman" w:cs="Times New Roman"/>
                <w:color w:val="auto"/>
              </w:rPr>
              <w:t xml:space="preserve">Development and Piloting of a </w:t>
            </w:r>
            <w:r w:rsidR="0082489C">
              <w:rPr>
                <w:rFonts w:ascii="Times New Roman" w:hAnsi="Times New Roman" w:cs="Times New Roman"/>
                <w:color w:val="auto"/>
              </w:rPr>
              <w:t>C</w:t>
            </w:r>
            <w:r w:rsidR="004E5339">
              <w:rPr>
                <w:rFonts w:ascii="Times New Roman" w:hAnsi="Times New Roman" w:cs="Times New Roman"/>
                <w:color w:val="auto"/>
              </w:rPr>
              <w:t xml:space="preserve">aribbean </w:t>
            </w:r>
            <w:r w:rsidRPr="00740045">
              <w:rPr>
                <w:rFonts w:ascii="Times New Roman" w:hAnsi="Times New Roman" w:cs="Times New Roman"/>
                <w:color w:val="auto"/>
              </w:rPr>
              <w:t xml:space="preserve">Agriculture Knowledge </w:t>
            </w:r>
            <w:r w:rsidR="004E5339">
              <w:rPr>
                <w:rFonts w:ascii="Times New Roman" w:hAnsi="Times New Roman" w:cs="Times New Roman"/>
                <w:color w:val="auto"/>
              </w:rPr>
              <w:t xml:space="preserve">Portal </w:t>
            </w:r>
          </w:p>
        </w:tc>
      </w:tr>
      <w:tr w:rsidR="00786201" w14:paraId="2EC4EFA0" w14:textId="77777777" w:rsidTr="00786201">
        <w:tc>
          <w:tcPr>
            <w:tcW w:w="2972" w:type="dxa"/>
          </w:tcPr>
          <w:p w14:paraId="5F8B6345" w14:textId="555CBF37" w:rsidR="00786201" w:rsidRPr="00786201" w:rsidRDefault="00786201" w:rsidP="3297A2ED">
            <w:pPr>
              <w:pStyle w:val="Default"/>
              <w:rPr>
                <w:rFonts w:ascii="Times New Roman" w:hAnsi="Times New Roman" w:cs="Times New Roman"/>
                <w:b/>
                <w:bCs/>
                <w:color w:val="auto"/>
              </w:rPr>
            </w:pPr>
            <w:r w:rsidRPr="00875955">
              <w:rPr>
                <w:rFonts w:ascii="Times New Roman" w:hAnsi="Times New Roman" w:cs="Times New Roman"/>
                <w:b/>
                <w:bCs/>
              </w:rPr>
              <w:t>Specific Assignment Name</w:t>
            </w:r>
          </w:p>
        </w:tc>
        <w:tc>
          <w:tcPr>
            <w:tcW w:w="6378" w:type="dxa"/>
          </w:tcPr>
          <w:p w14:paraId="016C31F3" w14:textId="3E7E0013" w:rsidR="00786201" w:rsidRPr="00740045" w:rsidRDefault="00CE6B9E" w:rsidP="3297A2ED">
            <w:pPr>
              <w:pStyle w:val="Default"/>
              <w:rPr>
                <w:rFonts w:ascii="Times New Roman" w:hAnsi="Times New Roman" w:cs="Times New Roman"/>
                <w:color w:val="auto"/>
              </w:rPr>
            </w:pPr>
            <w:r w:rsidRPr="00CE6B9E">
              <w:rPr>
                <w:rFonts w:ascii="Times New Roman" w:hAnsi="Times New Roman" w:cs="Times New Roman"/>
                <w:color w:val="auto"/>
              </w:rPr>
              <w:t xml:space="preserve">Marketing </w:t>
            </w:r>
            <w:r w:rsidR="008B23A3">
              <w:rPr>
                <w:rFonts w:ascii="Times New Roman" w:hAnsi="Times New Roman" w:cs="Times New Roman"/>
                <w:color w:val="auto"/>
              </w:rPr>
              <w:t>a</w:t>
            </w:r>
            <w:r w:rsidR="00FE042B" w:rsidRPr="00CE6B9E">
              <w:rPr>
                <w:rFonts w:ascii="Times New Roman" w:hAnsi="Times New Roman" w:cs="Times New Roman"/>
                <w:color w:val="auto"/>
              </w:rPr>
              <w:t xml:space="preserve">nd Promotion, Monitoring </w:t>
            </w:r>
            <w:r w:rsidR="008B23A3">
              <w:rPr>
                <w:rFonts w:ascii="Times New Roman" w:hAnsi="Times New Roman" w:cs="Times New Roman"/>
                <w:color w:val="auto"/>
              </w:rPr>
              <w:t>a</w:t>
            </w:r>
            <w:r w:rsidR="00FE042B" w:rsidRPr="00CE6B9E">
              <w:rPr>
                <w:rFonts w:ascii="Times New Roman" w:hAnsi="Times New Roman" w:cs="Times New Roman"/>
                <w:color w:val="auto"/>
              </w:rPr>
              <w:t xml:space="preserve">nd Evaluation </w:t>
            </w:r>
            <w:r w:rsidR="008B23A3">
              <w:rPr>
                <w:rFonts w:ascii="Times New Roman" w:hAnsi="Times New Roman" w:cs="Times New Roman"/>
                <w:color w:val="auto"/>
              </w:rPr>
              <w:t>a</w:t>
            </w:r>
            <w:r w:rsidR="00FE042B" w:rsidRPr="00CE6B9E">
              <w:rPr>
                <w:rFonts w:ascii="Times New Roman" w:hAnsi="Times New Roman" w:cs="Times New Roman"/>
                <w:color w:val="auto"/>
              </w:rPr>
              <w:t xml:space="preserve">nd Development </w:t>
            </w:r>
            <w:r w:rsidR="008B23A3">
              <w:rPr>
                <w:rFonts w:ascii="Times New Roman" w:hAnsi="Times New Roman" w:cs="Times New Roman"/>
                <w:color w:val="auto"/>
              </w:rPr>
              <w:t>o</w:t>
            </w:r>
            <w:r w:rsidR="00FE042B" w:rsidRPr="00CE6B9E">
              <w:rPr>
                <w:rFonts w:ascii="Times New Roman" w:hAnsi="Times New Roman" w:cs="Times New Roman"/>
                <w:color w:val="auto"/>
              </w:rPr>
              <w:t xml:space="preserve">f </w:t>
            </w:r>
            <w:r w:rsidR="008B23A3">
              <w:rPr>
                <w:rFonts w:ascii="Times New Roman" w:hAnsi="Times New Roman" w:cs="Times New Roman"/>
                <w:color w:val="auto"/>
              </w:rPr>
              <w:t>a</w:t>
            </w:r>
            <w:r w:rsidR="00FE042B" w:rsidRPr="00CE6B9E">
              <w:rPr>
                <w:rFonts w:ascii="Times New Roman" w:hAnsi="Times New Roman" w:cs="Times New Roman"/>
                <w:color w:val="auto"/>
              </w:rPr>
              <w:t xml:space="preserve"> Management </w:t>
            </w:r>
            <w:r w:rsidR="008B23A3">
              <w:rPr>
                <w:rFonts w:ascii="Times New Roman" w:hAnsi="Times New Roman" w:cs="Times New Roman"/>
                <w:color w:val="auto"/>
              </w:rPr>
              <w:t>a</w:t>
            </w:r>
            <w:r w:rsidR="00FE042B" w:rsidRPr="00CE6B9E">
              <w:rPr>
                <w:rFonts w:ascii="Times New Roman" w:hAnsi="Times New Roman" w:cs="Times New Roman"/>
                <w:color w:val="auto"/>
              </w:rPr>
              <w:t xml:space="preserve">nd Operational Plan </w:t>
            </w:r>
            <w:r w:rsidRPr="00CE6B9E">
              <w:rPr>
                <w:rFonts w:ascii="Times New Roman" w:hAnsi="Times New Roman" w:cs="Times New Roman"/>
                <w:color w:val="auto"/>
              </w:rPr>
              <w:t>for the Caribbean Agriculture Knowledge Portal (CAKP</w:t>
            </w:r>
            <w:r>
              <w:rPr>
                <w:rFonts w:ascii="Times New Roman" w:hAnsi="Times New Roman" w:cs="Times New Roman"/>
                <w:color w:val="auto"/>
              </w:rPr>
              <w:t>)</w:t>
            </w:r>
          </w:p>
        </w:tc>
      </w:tr>
    </w:tbl>
    <w:p w14:paraId="72D02E31" w14:textId="77777777" w:rsidR="00786201" w:rsidRPr="00280EDE" w:rsidRDefault="00786201" w:rsidP="3297A2ED">
      <w:pPr>
        <w:pStyle w:val="Default"/>
        <w:rPr>
          <w:rFonts w:ascii="Times New Roman" w:hAnsi="Times New Roman" w:cs="Times New Roman"/>
          <w:i/>
          <w:iCs/>
          <w:color w:val="4472C4" w:themeColor="accent1"/>
        </w:rPr>
      </w:pPr>
    </w:p>
    <w:p w14:paraId="7292799D" w14:textId="77777777" w:rsidR="00F863A3" w:rsidRPr="00875955" w:rsidRDefault="00F863A3" w:rsidP="00F863A3">
      <w:pPr>
        <w:pStyle w:val="Default"/>
        <w:ind w:left="-720"/>
        <w:rPr>
          <w:rFonts w:ascii="Times New Roman" w:hAnsi="Times New Roman" w:cs="Times New Roman"/>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F20CAB">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F20CAB">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F20CAB">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F20CAB">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F20CA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F20CA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F20CA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F20CA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F20CA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298AE4AB"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w:t>
      </w:r>
      <w:r w:rsidR="00E9570C" w:rsidRPr="00E0756C">
        <w:t xml:space="preserve">last </w:t>
      </w:r>
      <w:r w:rsidR="005C4FF5" w:rsidRPr="00E0756C">
        <w:t xml:space="preserve">5 </w:t>
      </w:r>
      <w:r w:rsidR="00E9570C" w:rsidRPr="00E0756C">
        <w:t>years during the period</w:t>
      </w:r>
      <w:r w:rsidR="006C35D6" w:rsidRPr="00E0756C">
        <w:t xml:space="preserve"> </w:t>
      </w:r>
      <w:r w:rsidR="004B0616" w:rsidRPr="00E0756C">
        <w:t>201</w:t>
      </w:r>
      <w:r w:rsidR="00D45907">
        <w:t>9</w:t>
      </w:r>
      <w:r w:rsidR="004B0616" w:rsidRPr="00E0756C">
        <w:t xml:space="preserve"> </w:t>
      </w:r>
      <w:r w:rsidR="00E9570C" w:rsidRPr="00E0756C">
        <w:t xml:space="preserve">to </w:t>
      </w:r>
      <w:r w:rsidR="004B0616" w:rsidRPr="00E0756C">
        <w:t>202</w:t>
      </w:r>
      <w:r w:rsidR="00D45907">
        <w:t>3</w:t>
      </w:r>
      <w:r w:rsidR="00E23C7D" w:rsidRPr="00E0756C">
        <w:t xml:space="preserve"> </w:t>
      </w:r>
      <w:r w:rsidR="00E9570C" w:rsidRPr="00E0756C">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2A772437" w:rsidR="009E316D" w:rsidRDefault="00F20CAB"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w:t>
      </w:r>
      <w:r w:rsidR="00F52A48">
        <w:rPr>
          <w:i/>
          <w:iCs/>
          <w:color w:val="2E74B5" w:themeColor="accent5" w:themeShade="BF"/>
        </w:rPr>
        <w:t>5</w:t>
      </w:r>
      <w:r w:rsidR="009E316D" w:rsidRPr="00280EDE">
        <w:rPr>
          <w:i/>
          <w:iCs/>
          <w:color w:val="2E74B5" w:themeColor="accent5" w:themeShade="BF"/>
        </w:rPr>
        <w:t>]</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DCF846B"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w:t>
            </w:r>
            <w:r w:rsidR="00C7728C">
              <w:rPr>
                <w:bCs/>
                <w:i/>
                <w:iCs/>
                <w:color w:val="2E74B5" w:themeColor="accent5" w:themeShade="BF"/>
                <w:spacing w:val="-4"/>
              </w:rPr>
              <w:t>5</w:t>
            </w:r>
            <w:r w:rsidRPr="00280EDE">
              <w:rPr>
                <w:bCs/>
                <w:i/>
                <w:iCs/>
                <w:color w:val="2E74B5" w:themeColor="accent5" w:themeShade="BF"/>
                <w:spacing w:val="-4"/>
              </w:rPr>
              <w:t>]</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280EDE" w:rsidDel="0086791C" w:rsidRDefault="00D16B88">
            <w:pPr>
              <w:jc w:val="center"/>
              <w:rPr>
                <w:i/>
                <w:iCs/>
                <w:color w:val="4472C4" w:themeColor="accent1"/>
              </w:rPr>
            </w:pPr>
            <w:r w:rsidRPr="00280EDE">
              <w:rPr>
                <w:i/>
                <w:iCs/>
                <w:color w:val="4472C4" w:themeColor="accent1"/>
              </w:rPr>
              <w:t>To be inserted by the Client, for e.g.</w:t>
            </w:r>
            <w:r w:rsidR="005822DB" w:rsidRPr="00280EDE">
              <w:rPr>
                <w:i/>
                <w:iCs/>
                <w:color w:val="4472C4" w:themeColor="accent1"/>
              </w:rPr>
              <w:t>,</w:t>
            </w:r>
            <w:r w:rsidRPr="00280EDE">
              <w:rPr>
                <w:i/>
                <w:iCs/>
                <w:color w:val="4472C4" w:themeColor="accent1"/>
              </w:rPr>
              <w:t xml:space="preserve"> Civil Engineers</w:t>
            </w:r>
          </w:p>
        </w:tc>
        <w:tc>
          <w:tcPr>
            <w:tcW w:w="1756"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4907BFE" w:rsidR="00D16B88" w:rsidRPr="00280EDE" w:rsidRDefault="00D16B88" w:rsidP="00D16B88">
            <w:pPr>
              <w:jc w:val="center"/>
              <w:rPr>
                <w:i/>
                <w:iCs/>
                <w:color w:val="4472C4" w:themeColor="accent1"/>
              </w:rPr>
            </w:pPr>
            <w:r w:rsidRPr="00280EDE">
              <w:rPr>
                <w:i/>
                <w:iCs/>
                <w:color w:val="4472C4" w:themeColor="accent1"/>
              </w:rPr>
              <w:t xml:space="preserve">To be inserted by the </w:t>
            </w:r>
            <w:r w:rsidR="005822DB" w:rsidRPr="00280EDE">
              <w:rPr>
                <w:i/>
                <w:iCs/>
                <w:color w:val="4472C4" w:themeColor="accent1"/>
              </w:rPr>
              <w:t>Client, for</w:t>
            </w:r>
            <w:r w:rsidRPr="00280EDE">
              <w:rPr>
                <w:i/>
                <w:iCs/>
                <w:color w:val="4472C4" w:themeColor="accent1"/>
              </w:rPr>
              <w:t xml:space="preserve"> </w:t>
            </w:r>
            <w:r w:rsidR="00C561A2" w:rsidRPr="00280EDE">
              <w:rPr>
                <w:i/>
                <w:iCs/>
                <w:color w:val="4472C4" w:themeColor="accent1"/>
              </w:rPr>
              <w:t>e.g.,</w:t>
            </w:r>
            <w:r w:rsidRPr="00280EDE">
              <w:rPr>
                <w:i/>
                <w:iCs/>
                <w:color w:val="4472C4" w:themeColor="accent1"/>
              </w:rPr>
              <w:t xml:space="preserve"> 10 years</w:t>
            </w:r>
          </w:p>
          <w:p w14:paraId="29C52F9F" w14:textId="77777777" w:rsidR="00D16B88" w:rsidRPr="00280EDE" w:rsidDel="0086791C" w:rsidRDefault="00D16B88" w:rsidP="00943050">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4CAB166" w14:textId="59B4BD49" w:rsidR="00DB6B39" w:rsidRDefault="00DB6B39" w:rsidP="00DB6B39">
            <w:r>
              <w:t xml:space="preserve">Marketing and Promotion Expert. </w:t>
            </w:r>
          </w:p>
          <w:p w14:paraId="08AB3E62" w14:textId="4C281984" w:rsidR="00FC6323" w:rsidRPr="007E53D6" w:rsidRDefault="00FC6323" w:rsidP="00173EBF"/>
        </w:tc>
        <w:tc>
          <w:tcPr>
            <w:tcW w:w="1756" w:type="dxa"/>
            <w:tcBorders>
              <w:top w:val="single" w:sz="4" w:space="0" w:color="auto"/>
              <w:left w:val="nil"/>
              <w:bottom w:val="single" w:sz="4" w:space="0" w:color="auto"/>
              <w:right w:val="nil"/>
            </w:tcBorders>
          </w:tcPr>
          <w:p w14:paraId="5E8547B5" w14:textId="7D9F60F6" w:rsidR="00FC6323" w:rsidRPr="007E53D6" w:rsidRDefault="00665FC1" w:rsidP="007E53D6">
            <w:r w:rsidRPr="007E53D6">
              <w:t>1</w:t>
            </w:r>
            <w:r w:rsidR="003E02FA" w:rsidRPr="007E53D6">
              <w:t xml:space="preserve"> person</w:t>
            </w:r>
          </w:p>
        </w:tc>
        <w:tc>
          <w:tcPr>
            <w:tcW w:w="1764" w:type="dxa"/>
            <w:tcBorders>
              <w:top w:val="single" w:sz="4" w:space="0" w:color="auto"/>
              <w:left w:val="nil"/>
              <w:bottom w:val="single" w:sz="4" w:space="0" w:color="auto"/>
              <w:right w:val="nil"/>
            </w:tcBorders>
          </w:tcPr>
          <w:p w14:paraId="10DBA5EB" w14:textId="46A6873F" w:rsidR="00FC6323" w:rsidRPr="007E53D6" w:rsidRDefault="00665FC1" w:rsidP="007E53D6">
            <w:r w:rsidRPr="007E53D6">
              <w:t>5</w:t>
            </w:r>
            <w:r w:rsidR="003E02FA" w:rsidRPr="007E53D6">
              <w:t xml:space="preserve"> </w:t>
            </w:r>
            <w:r w:rsidR="00FC6323" w:rsidRPr="007E53D6">
              <w:t>y</w:t>
            </w:r>
            <w:r w:rsidR="003E02FA" w:rsidRPr="007E53D6">
              <w:t>ea</w:t>
            </w:r>
            <w:r w:rsidR="00FC6323" w:rsidRPr="007E53D6">
              <w:t>rs</w:t>
            </w:r>
          </w:p>
        </w:tc>
        <w:tc>
          <w:tcPr>
            <w:tcW w:w="1806" w:type="dxa"/>
            <w:tcBorders>
              <w:top w:val="single" w:sz="4" w:space="0" w:color="auto"/>
              <w:left w:val="nil"/>
              <w:bottom w:val="single" w:sz="4" w:space="0" w:color="auto"/>
              <w:right w:val="nil"/>
            </w:tcBorders>
          </w:tcPr>
          <w:p w14:paraId="20B8EBA7" w14:textId="6050B749" w:rsidR="00FC6323" w:rsidRPr="00280EDE" w:rsidRDefault="00265B5C" w:rsidP="0DB728AF">
            <w:pPr>
              <w:jc w:val="center"/>
              <w:rPr>
                <w:i/>
                <w:iCs/>
                <w:color w:val="4472C4" w:themeColor="accent1"/>
              </w:rPr>
            </w:pPr>
            <w:r w:rsidRPr="0DB728AF">
              <w:rPr>
                <w:i/>
                <w:iCs/>
              </w:rPr>
              <w:t>[</w:t>
            </w:r>
            <w:r w:rsidR="00FC6323" w:rsidRPr="0DB728AF">
              <w:rPr>
                <w:i/>
                <w:iCs/>
              </w:rPr>
              <w:t>3</w:t>
            </w:r>
            <w:r w:rsidR="003E02FA" w:rsidRPr="0DB728AF">
              <w:rPr>
                <w:i/>
                <w:iCs/>
              </w:rPr>
              <w:t xml:space="preserve"> persons</w:t>
            </w:r>
            <w:r w:rsidRPr="0DB728AF">
              <w:rPr>
                <w:i/>
                <w:iCs/>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3DB4E80" w14:textId="77777777" w:rsidR="00173EBF" w:rsidRDefault="00173EBF" w:rsidP="00173EBF">
            <w:r>
              <w:t>Monitoring and Evaluation Expert.</w:t>
            </w:r>
          </w:p>
          <w:p w14:paraId="7831E1A2" w14:textId="20C6B7F7" w:rsidR="00FC6323" w:rsidRPr="007E53D6" w:rsidRDefault="00FC6323"/>
        </w:tc>
        <w:tc>
          <w:tcPr>
            <w:tcW w:w="1756" w:type="dxa"/>
            <w:tcBorders>
              <w:top w:val="single" w:sz="4" w:space="0" w:color="auto"/>
              <w:left w:val="nil"/>
              <w:bottom w:val="single" w:sz="4" w:space="0" w:color="auto"/>
              <w:right w:val="nil"/>
            </w:tcBorders>
          </w:tcPr>
          <w:p w14:paraId="5C266E38" w14:textId="75620922"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02B682A8" w14:textId="29637CF9"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92DFC0C" w14:textId="77777777" w:rsidR="00173EBF" w:rsidRPr="007E53D6" w:rsidRDefault="00173EBF" w:rsidP="00173EBF">
            <w:r>
              <w:t>Business Management and Planning Expert</w:t>
            </w:r>
          </w:p>
          <w:p w14:paraId="718D4A0E" w14:textId="5FD00829" w:rsidR="00FC6323" w:rsidRPr="007E53D6" w:rsidRDefault="00FC6323"/>
        </w:tc>
        <w:tc>
          <w:tcPr>
            <w:tcW w:w="1756" w:type="dxa"/>
            <w:tcBorders>
              <w:top w:val="single" w:sz="4" w:space="0" w:color="auto"/>
              <w:left w:val="nil"/>
              <w:bottom w:val="single" w:sz="4" w:space="0" w:color="auto"/>
              <w:right w:val="nil"/>
            </w:tcBorders>
          </w:tcPr>
          <w:p w14:paraId="0D383AFE" w14:textId="1101FC11"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1821C145" w14:textId="25CA1A02"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1819A0C" w:rsidR="00FC6323" w:rsidRPr="007E53D6" w:rsidRDefault="00FC6323"/>
        </w:tc>
        <w:tc>
          <w:tcPr>
            <w:tcW w:w="1756" w:type="dxa"/>
            <w:tcBorders>
              <w:top w:val="single" w:sz="4" w:space="0" w:color="auto"/>
              <w:left w:val="nil"/>
              <w:bottom w:val="single" w:sz="4" w:space="0" w:color="auto"/>
              <w:right w:val="nil"/>
            </w:tcBorders>
          </w:tcPr>
          <w:p w14:paraId="36C2CB31" w14:textId="25B04D34" w:rsidR="00FC6323" w:rsidRPr="007E53D6" w:rsidRDefault="00FC6323"/>
        </w:tc>
        <w:tc>
          <w:tcPr>
            <w:tcW w:w="1764" w:type="dxa"/>
            <w:tcBorders>
              <w:top w:val="single" w:sz="4" w:space="0" w:color="auto"/>
              <w:left w:val="nil"/>
              <w:bottom w:val="single" w:sz="4" w:space="0" w:color="auto"/>
              <w:right w:val="nil"/>
            </w:tcBorders>
          </w:tcPr>
          <w:p w14:paraId="045D5144" w14:textId="57BDC15F" w:rsidR="00FC6323" w:rsidRPr="007E53D6" w:rsidRDefault="00FC6323"/>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6460013B"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w:t>
            </w:r>
            <w:r w:rsidR="00385B5A">
              <w:rPr>
                <w:rFonts w:ascii="Times New Roman" w:hAnsi="Times New Roman" w:cs="Times New Roman"/>
              </w:rPr>
              <w:t>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F20CAB"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F20CAB"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F20CAB"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F20CA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F20CA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F20CAB"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F20CAB"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F20CAB"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F20CAB"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F20CAB"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F20CAB"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F20CAB"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F20CAB"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71368" w14:textId="77777777" w:rsidR="006352E1" w:rsidRDefault="006352E1" w:rsidP="00F863A3">
      <w:r>
        <w:separator/>
      </w:r>
    </w:p>
  </w:endnote>
  <w:endnote w:type="continuationSeparator" w:id="0">
    <w:p w14:paraId="4C0D9EEC" w14:textId="77777777" w:rsidR="006352E1" w:rsidRDefault="006352E1" w:rsidP="00F863A3">
      <w:r>
        <w:continuationSeparator/>
      </w:r>
    </w:p>
  </w:endnote>
  <w:endnote w:type="continuationNotice" w:id="1">
    <w:p w14:paraId="4C78076F" w14:textId="77777777" w:rsidR="006352E1" w:rsidRDefault="00635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5113" w14:textId="77777777" w:rsidR="006352E1" w:rsidRDefault="006352E1" w:rsidP="00F863A3">
      <w:r>
        <w:separator/>
      </w:r>
    </w:p>
  </w:footnote>
  <w:footnote w:type="continuationSeparator" w:id="0">
    <w:p w14:paraId="2AB8A389" w14:textId="77777777" w:rsidR="006352E1" w:rsidRDefault="006352E1" w:rsidP="00F863A3">
      <w:r>
        <w:continuationSeparator/>
      </w:r>
    </w:p>
  </w:footnote>
  <w:footnote w:type="continuationNotice" w:id="1">
    <w:p w14:paraId="62CB6C69" w14:textId="77777777" w:rsidR="006352E1" w:rsidRDefault="006352E1"/>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r w:rsidRPr="00875955">
        <w:rPr>
          <w:color w:val="000000"/>
          <w:sz w:val="20"/>
          <w:szCs w:val="20"/>
        </w:rPr>
        <w:t>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3EBF"/>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5B5A"/>
    <w:rsid w:val="00386DDE"/>
    <w:rsid w:val="003877B6"/>
    <w:rsid w:val="003900E6"/>
    <w:rsid w:val="00394AB9"/>
    <w:rsid w:val="00396195"/>
    <w:rsid w:val="0039792A"/>
    <w:rsid w:val="003A0396"/>
    <w:rsid w:val="003A455E"/>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6BA0"/>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0616"/>
    <w:rsid w:val="004B198D"/>
    <w:rsid w:val="004B34F1"/>
    <w:rsid w:val="004B3F77"/>
    <w:rsid w:val="004B724B"/>
    <w:rsid w:val="004D03B0"/>
    <w:rsid w:val="004D0B6A"/>
    <w:rsid w:val="004D1FE1"/>
    <w:rsid w:val="004D2465"/>
    <w:rsid w:val="004D3F08"/>
    <w:rsid w:val="004D41C3"/>
    <w:rsid w:val="004D72F5"/>
    <w:rsid w:val="004E5339"/>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7D1D"/>
    <w:rsid w:val="006F5D25"/>
    <w:rsid w:val="006F6A51"/>
    <w:rsid w:val="006F6E1A"/>
    <w:rsid w:val="00700A52"/>
    <w:rsid w:val="00703544"/>
    <w:rsid w:val="0070426B"/>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0045"/>
    <w:rsid w:val="00741F60"/>
    <w:rsid w:val="00743031"/>
    <w:rsid w:val="00745C4F"/>
    <w:rsid w:val="00745F8C"/>
    <w:rsid w:val="00746433"/>
    <w:rsid w:val="0075128E"/>
    <w:rsid w:val="00751ECC"/>
    <w:rsid w:val="00751F10"/>
    <w:rsid w:val="00753C05"/>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86201"/>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2602"/>
    <w:rsid w:val="007F53B7"/>
    <w:rsid w:val="007F677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89C"/>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23A3"/>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2046"/>
    <w:rsid w:val="00A04905"/>
    <w:rsid w:val="00A04E2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497D"/>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6CE7"/>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28C"/>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6B9E"/>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907"/>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383E"/>
    <w:rsid w:val="00DA6BC9"/>
    <w:rsid w:val="00DB1D95"/>
    <w:rsid w:val="00DB2318"/>
    <w:rsid w:val="00DB3F27"/>
    <w:rsid w:val="00DB432A"/>
    <w:rsid w:val="00DB4ED1"/>
    <w:rsid w:val="00DB59CE"/>
    <w:rsid w:val="00DB6B39"/>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07FC6"/>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0CAB"/>
    <w:rsid w:val="00F220B8"/>
    <w:rsid w:val="00F2407B"/>
    <w:rsid w:val="00F259D9"/>
    <w:rsid w:val="00F25B12"/>
    <w:rsid w:val="00F27146"/>
    <w:rsid w:val="00F3277D"/>
    <w:rsid w:val="00F3311A"/>
    <w:rsid w:val="00F44CD6"/>
    <w:rsid w:val="00F47F19"/>
    <w:rsid w:val="00F50857"/>
    <w:rsid w:val="00F51A9B"/>
    <w:rsid w:val="00F52A48"/>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42B"/>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414817"/>
    <w:rsid w:val="004303FA"/>
    <w:rsid w:val="00536AF4"/>
    <w:rsid w:val="00610C79"/>
    <w:rsid w:val="007F2D84"/>
    <w:rsid w:val="008976D8"/>
    <w:rsid w:val="0095348C"/>
    <w:rsid w:val="00A02046"/>
    <w:rsid w:val="00A4497D"/>
    <w:rsid w:val="00A60598"/>
    <w:rsid w:val="00A60824"/>
    <w:rsid w:val="00AA6967"/>
    <w:rsid w:val="00B16189"/>
    <w:rsid w:val="00C52566"/>
    <w:rsid w:val="00C6605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2493</Words>
  <Characters>14211</Characters>
  <Application>Microsoft Office Word</Application>
  <DocSecurity>4</DocSecurity>
  <Lines>118</Lines>
  <Paragraphs>33</Paragraphs>
  <ScaleCrop>false</ScaleCrop>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Prudence Wiltshire</cp:lastModifiedBy>
  <cp:revision>2</cp:revision>
  <dcterms:created xsi:type="dcterms:W3CDTF">2024-11-11T12:48:00Z</dcterms:created>
  <dcterms:modified xsi:type="dcterms:W3CDTF">2024-11-11T12:48:00Z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