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summarised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7F34180E"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4D90A008" w14:textId="498BE90D" w:rsidR="00F11EEA"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Consultancy Services to develop a Business Continuity/Disaster Recovery Plan for The UWI and the Campuses</w:t>
            </w: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r w:rsidRPr="004E2ABE">
              <w:t>Authorised</w:t>
            </w:r>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of Authorised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167E4E">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167E4E">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167E4E">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167E4E">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167E4E"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167E4E"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167E4E"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167E4E"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167E4E"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167E4E"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167E4E"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FF469B">
              <v:shapetype id="_x0000_t202" coordsize="21600,21600" o:spt="202" path="m,l,21600r21600,l21600,xe" w14:anchorId="2859F611">
                <v:stroke joinstyle="miter"/>
                <v:path gradientshapeok="t" o:connecttype="rect"/>
              </v:shapetype>
              <v:shape id="Text Box 14"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">
                <v:textbox>
                  <w:txbxContent>
                    <w:p w:rsidR="004A61B0" w:rsidP="00F863A3" w:rsidRDefault="004A61B0" w14:paraId="672A6659" w14:textId="77777777"/>
                    <w:p w:rsidR="004A61B0" w:rsidP="00F863A3" w:rsidRDefault="004A61B0" w14:paraId="0A37501D" w14:textId="77777777"/>
                    <w:p w:rsidR="004A61B0" w:rsidP="00F863A3" w:rsidRDefault="004A61B0" w14:paraId="5DAB6C7B" w14:textId="1A4F9A92"/>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An organogram / organi</w:t>
      </w:r>
      <w:r w:rsidR="566E358E" w:rsidRPr="730D4212">
        <w:rPr>
          <w:rFonts w:ascii="Times New Roman" w:hAnsi="Times New Roman" w:cs="Times New Roman"/>
        </w:rPr>
        <w:t>s</w:t>
      </w:r>
      <w:r w:rsidR="3A3E832B" w:rsidRPr="730D4212">
        <w:rPr>
          <w:rFonts w:ascii="Times New Roman" w:hAnsi="Times New Roman" w:cs="Times New Roman"/>
        </w:rPr>
        <w:t>ational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Category of Specialisation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349C85FF" w14:textId="18DFB8D5" w:rsidR="00D16B88" w:rsidRPr="00470246" w:rsidDel="0086791C" w:rsidRDefault="00651D2F" w:rsidP="43ADB755">
            <w:pPr>
              <w:jc w:val="both"/>
              <w:rPr>
                <w:i/>
                <w:iCs/>
                <w:color w:val="4472C4" w:themeColor="accent1"/>
              </w:rPr>
            </w:pPr>
            <w:r>
              <w:rPr>
                <w:i/>
                <w:iCs/>
                <w:color w:val="4472C4" w:themeColor="accent1"/>
              </w:rPr>
              <w:t>Business Continuity Specialist</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08AB3E62" w14:textId="3F70C836" w:rsidR="00FC6323" w:rsidRPr="00470246" w:rsidRDefault="00651D2F" w:rsidP="00B33B19">
            <w:pPr>
              <w:jc w:val="both"/>
              <w:rPr>
                <w:i/>
                <w:iCs/>
                <w:color w:val="4472C4" w:themeColor="accent1"/>
              </w:rPr>
            </w:pPr>
            <w:r>
              <w:rPr>
                <w:i/>
                <w:iCs/>
                <w:color w:val="4472C4" w:themeColor="accent1"/>
              </w:rPr>
              <w:t>Business Continuity Specialists</w:t>
            </w:r>
          </w:p>
        </w:tc>
        <w:tc>
          <w:tcPr>
            <w:tcW w:w="1775" w:type="dxa"/>
          </w:tcPr>
          <w:p w14:paraId="5E8547B5" w14:textId="5D41F928"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20B8EBA7" w14:textId="6050B749"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7831E1A2" w14:textId="709E4C14" w:rsidR="00FC6323" w:rsidRPr="00470246" w:rsidRDefault="00FC6323">
            <w:pPr>
              <w:rPr>
                <w:color w:val="000000"/>
              </w:rPr>
            </w:pPr>
            <w:r w:rsidRPr="00470246">
              <w:rPr>
                <w:color w:val="000000"/>
              </w:rPr>
              <w:t> </w:t>
            </w: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lastRenderedPageBreak/>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167E4E"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167E4E"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167E4E"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167E4E"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167E4E"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167E4E"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167E4E"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167E4E"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167E4E"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167E4E"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167E4E"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167E4E"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167E4E"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dd-mm-yyy</w:t>
      </w:r>
      <w:r w:rsidR="004631E2" w:rsidRPr="009B2D6A">
        <w:rPr>
          <w:rFonts w:ascii="Times New Roman" w:hAnsi="Times New Roman" w:cs="Times New Roman"/>
          <w:i/>
          <w:iCs/>
          <w:color w:val="00B050"/>
        </w:rPr>
        <w:t>y</w:t>
      </w:r>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FCCFA" w14:textId="77777777" w:rsidR="004A61B0" w:rsidRDefault="004A61B0" w:rsidP="00F863A3">
      <w:r>
        <w:separator/>
      </w:r>
    </w:p>
  </w:endnote>
  <w:endnote w:type="continuationSeparator" w:id="0">
    <w:p w14:paraId="2E159834" w14:textId="77777777" w:rsidR="004A61B0" w:rsidRDefault="004A61B0" w:rsidP="00F863A3">
      <w:r>
        <w:continuationSeparator/>
      </w:r>
    </w:p>
  </w:endnote>
  <w:endnote w:type="continuationNotice" w:id="1">
    <w:p w14:paraId="07CB5F07" w14:textId="77777777" w:rsidR="004A61B0" w:rsidRDefault="004A6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B8A47" w14:textId="77777777" w:rsidR="004A61B0" w:rsidRDefault="004A61B0" w:rsidP="00F863A3">
      <w:r>
        <w:separator/>
      </w:r>
    </w:p>
  </w:footnote>
  <w:footnote w:type="continuationSeparator" w:id="0">
    <w:p w14:paraId="334C0E47" w14:textId="77777777" w:rsidR="004A61B0" w:rsidRDefault="004A61B0" w:rsidP="00F863A3">
      <w:r>
        <w:continuationSeparator/>
      </w:r>
    </w:p>
  </w:footnote>
  <w:footnote w:type="continuationNotice" w:id="1">
    <w:p w14:paraId="4BC7935E" w14:textId="77777777" w:rsidR="004A61B0" w:rsidRDefault="004A61B0"/>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0509621">
    <w:abstractNumId w:val="3"/>
  </w:num>
  <w:num w:numId="2" w16cid:durableId="1320695842">
    <w:abstractNumId w:val="14"/>
  </w:num>
  <w:num w:numId="3" w16cid:durableId="464347363">
    <w:abstractNumId w:val="6"/>
  </w:num>
  <w:num w:numId="4" w16cid:durableId="1510291017">
    <w:abstractNumId w:val="10"/>
  </w:num>
  <w:num w:numId="5" w16cid:durableId="953681271">
    <w:abstractNumId w:val="7"/>
  </w:num>
  <w:num w:numId="6" w16cid:durableId="101189265">
    <w:abstractNumId w:val="9"/>
  </w:num>
  <w:num w:numId="7" w16cid:durableId="143737054">
    <w:abstractNumId w:val="11"/>
  </w:num>
  <w:num w:numId="8" w16cid:durableId="997001238">
    <w:abstractNumId w:val="13"/>
  </w:num>
  <w:num w:numId="9" w16cid:durableId="1467162187">
    <w:abstractNumId w:val="16"/>
  </w:num>
  <w:num w:numId="10" w16cid:durableId="893547012">
    <w:abstractNumId w:val="12"/>
  </w:num>
  <w:num w:numId="11" w16cid:durableId="754938536">
    <w:abstractNumId w:val="8"/>
  </w:num>
  <w:num w:numId="12" w16cid:durableId="1758136177">
    <w:abstractNumId w:val="5"/>
  </w:num>
  <w:num w:numId="13" w16cid:durableId="1747727321">
    <w:abstractNumId w:val="1"/>
  </w:num>
  <w:num w:numId="14" w16cid:durableId="1338078641">
    <w:abstractNumId w:val="4"/>
  </w:num>
  <w:num w:numId="15" w16cid:durableId="2041009602">
    <w:abstractNumId w:val="0"/>
  </w:num>
  <w:num w:numId="16" w16cid:durableId="1547985607">
    <w:abstractNumId w:val="2"/>
  </w:num>
  <w:num w:numId="17" w16cid:durableId="2184406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67E4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776"/>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382"/>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560FF"/>
    <w:rsid w:val="009577EE"/>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47A0F"/>
    <w:rsid w:val="00654BA7"/>
    <w:rsid w:val="00783453"/>
    <w:rsid w:val="007B442F"/>
    <w:rsid w:val="007B7C64"/>
    <w:rsid w:val="007C223B"/>
    <w:rsid w:val="007F0ABA"/>
    <w:rsid w:val="007F2D84"/>
    <w:rsid w:val="00841382"/>
    <w:rsid w:val="008976D8"/>
    <w:rsid w:val="009431C6"/>
    <w:rsid w:val="0095348C"/>
    <w:rsid w:val="00990D28"/>
    <w:rsid w:val="00A60598"/>
    <w:rsid w:val="00A60824"/>
    <w:rsid w:val="00AA6967"/>
    <w:rsid w:val="00B16189"/>
    <w:rsid w:val="00B478B2"/>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OP365-1030052122-45</_dlc_DocId>
    <_dlc_DocIdUrl xmlns="d7c79300-af82-4651-8bb4-0962fed79a64">
      <Url>https://caribank.sharepoint.com/sites/ZZ/PRN300012/_layouts/15/DocIdRedir.aspx?ID=OP365-1030052122-45</Url>
      <Description>OP365-1030052122-45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E90A47614B1B4494C8C24C22E43564" ma:contentTypeVersion="6" ma:contentTypeDescription="Create a new document." ma:contentTypeScope="" ma:versionID="53c71261774c38042e4f73a440426e72">
  <xsd:schema xmlns:xsd="http://www.w3.org/2001/XMLSchema" xmlns:xs="http://www.w3.org/2001/XMLSchema" xmlns:p="http://schemas.microsoft.com/office/2006/metadata/properties" xmlns:ns2="d7c79300-af82-4651-8bb4-0962fed79a64" xmlns:ns3="df440311-34dc-49a9-95db-95f472345d2b" targetNamespace="http://schemas.microsoft.com/office/2006/metadata/properties" ma:root="true" ma:fieldsID="c4087ab05425f02780c11bb9a52f46d7" ns2:_="" ns3:_="">
    <xsd:import namespace="d7c79300-af82-4651-8bb4-0962fed79a64"/>
    <xsd:import namespace="df440311-34dc-49a9-95db-95f472345d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40311-34dc-49a9-95db-95f472345d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7bda40a8-3df1-4ee4-b5e5-4c50c43a0126"/>
    <ds:schemaRef ds:uri="0b6b2a37-597e-4378-a1ab-7ee1c7204f6d"/>
    <ds:schemaRef ds:uri="d7c79300-af82-4651-8bb4-0962fed79a64"/>
  </ds:schemaRefs>
</ds:datastoreItem>
</file>

<file path=customXml/itemProps2.xml><?xml version="1.0" encoding="utf-8"?>
<ds:datastoreItem xmlns:ds="http://schemas.openxmlformats.org/officeDocument/2006/customXml" ds:itemID="{EDA77035-20BB-4707-8002-90DC7C289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df440311-34dc-49a9-95db-95f472345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A9398-5DFC-8246-B1AE-491115C87CB7}">
  <ds:schemaRefs>
    <ds:schemaRef ds:uri="http://schemas.openxmlformats.org/officeDocument/2006/bibliography"/>
  </ds:schemaRefs>
</ds:datastoreItem>
</file>

<file path=customXml/itemProps4.xml><?xml version="1.0" encoding="utf-8"?>
<ds:datastoreItem xmlns:ds="http://schemas.openxmlformats.org/officeDocument/2006/customXml" ds:itemID="{C4ACFAEC-40E3-474D-87F2-4F37B46A8A58}">
  <ds:schemaRefs>
    <ds:schemaRef ds:uri="http://schemas.microsoft.com/sharepoint/events"/>
  </ds:schemaRefs>
</ds:datastoreItem>
</file>

<file path=customXml/itemProps5.xml><?xml version="1.0" encoding="utf-8"?>
<ds:datastoreItem xmlns:ds="http://schemas.openxmlformats.org/officeDocument/2006/customXml" ds:itemID="{354FDADF-0BAA-45FF-B6F6-78C698BE4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2378</Words>
  <Characters>13579</Characters>
  <Application>Microsoft Office Word</Application>
  <DocSecurity>0</DocSecurity>
  <Lines>113</Lines>
  <Paragraphs>31</Paragraphs>
  <ScaleCrop>false</ScaleCrop>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Prudence Wiltshire</cp:lastModifiedBy>
  <cp:revision>2</cp:revision>
  <dcterms:created xsi:type="dcterms:W3CDTF">2024-08-06T12:43:00Z</dcterms:created>
  <dcterms:modified xsi:type="dcterms:W3CDTF">2024-08-06T12:43:00Z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0x010100DBE90A47614B1B4494C8C24C22E43564</vt:lpwstr>
  </property>
  <property fmtid="{D5CDD505-2E9C-101B-9397-08002B2CF9AE}" pid="4" name="MediaServiceImageTags">
    <vt:lpwstr/>
  </property>
  <property fmtid="{D5CDD505-2E9C-101B-9397-08002B2CF9AE}" pid="5" name="_dlc_DocIdItemGuid">
    <vt:lpwstr>fc7cfa1d-9dfd-4468-b6dd-1ed13ecc979c</vt:lpwstr>
  </property>
</Properties>
</file>